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rPr>
                      <w:color w:val="000000"/>
                    </w:rPr>
                  </w:pPr>
                  <w:r w:rsidDel="00000000" w:rsidR="00000000" w:rsidRPr="00000000">
                    <w:rPr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b w:val="1"/>
                      <w:color w:val="000000"/>
                      <w:sz w:val="32"/>
                      <w:szCs w:val="32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PRIMARIA “A. FRANK”/”B.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rPr>
                      <w:b w:val="1"/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jc w:val="center"/>
                    <w:rPr>
                      <w:color w:val="000000"/>
                      <w:sz w:val="36"/>
                      <w:szCs w:val="36"/>
                    </w:rPr>
                  </w:pPr>
                  <w:r w:rsidDel="00000000" w:rsidR="00000000" w:rsidRPr="00000000">
                    <w:rPr>
                      <w:color w:val="000000"/>
                      <w:sz w:val="36"/>
                      <w:szCs w:val="36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jc w:val="center"/>
                    <w:rPr>
                      <w:color w:val="000000"/>
                      <w:sz w:val="36"/>
                      <w:szCs w:val="36"/>
                    </w:rPr>
                  </w:pPr>
                  <w:r w:rsidDel="00000000" w:rsidR="00000000" w:rsidRPr="00000000">
                    <w:rPr>
                      <w:color w:val="000000"/>
                      <w:sz w:val="36"/>
                      <w:szCs w:val="36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color w:val="000000"/>
                      <w:sz w:val="28"/>
                      <w:szCs w:val="28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color w:val="000000"/>
                      <w:sz w:val="28"/>
                      <w:szCs w:val="28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color w:val="000000"/>
                      <w:sz w:val="28"/>
                      <w:szCs w:val="28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Disciplina: MUSICA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COMPETENZA CHIAVE EUROPEA: competenza in materia di consapevolezza ed espressione cultural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Traguardi formativi</w:t>
      </w:r>
    </w:p>
    <w:tbl>
      <w:tblPr>
        <w:tblStyle w:val="Table3"/>
        <w:tblW w:w="14369.0" w:type="dxa"/>
        <w:jc w:val="left"/>
        <w:tblInd w:w="-15.0" w:type="dxa"/>
        <w:tblLayout w:type="fixed"/>
        <w:tblLook w:val="0000"/>
      </w:tblPr>
      <w:tblGrid>
        <w:gridCol w:w="3145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145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Tempi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Esplorare, discriminare ed elaborare eventi sonori dal punto di vista qualitativo, spaziale e in riferimento alla loro fonte.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Esplorare diverse possibilità espressive della voce, di oggetti sonori e strumenti musicali, imparando ad ascoltare se stesso e gli altri.</w:t>
            </w:r>
          </w:p>
          <w:p w:rsidR="00000000" w:rsidDel="00000000" w:rsidP="00000000" w:rsidRDefault="00000000" w:rsidRPr="00000000" w14:paraId="00000018">
            <w:pPr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Ascoltare e descrivere brani musicali di diversi generi.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Fare uso di forme di notazione analogiche e codificate.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Articolare combinazioni timbriche, ritmiche e melodiche, applicando schemi elementari; eseguirle con la voce, il corpo e gli strumenti, ivi compresi quelli della tecnologia informatica.</w:t>
            </w:r>
          </w:p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Improvvisare liberamente e in modo creativo, imparando gradualmente a dominare tecniche e materiali, suoni e silenzi.</w:t>
            </w:r>
          </w:p>
          <w:p w:rsidR="00000000" w:rsidDel="00000000" w:rsidP="00000000" w:rsidRDefault="00000000" w:rsidRPr="00000000" w14:paraId="0000001D">
            <w:pPr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Riconoscere gli elementi costitutivi di un semplice brano musicale, utilizzandoli nella pratica.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Eseguire canti a una o più voci.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white"/>
                <w:rtl w:val="0"/>
              </w:rPr>
              <w:t xml:space="preserve">Generi musicali.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highlight w:val="white"/>
                <w:rtl w:val="0"/>
              </w:rPr>
              <w:t xml:space="preserve">Brani musicali.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Le sequenze ritmiche.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Gli strumenti e le voci.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Le variazioni di altezza.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L’intonazione della voce.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Gli strumenti musicali.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Il pentagramma.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Le figure musicali.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 valori musicali.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1"/>
              </w:tabs>
              <w:spacing w:after="0" w:line="240" w:lineRule="auto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Ascolto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1. Utilizzare voce, strumenti e nuove tecnologie sonore in modo creativo e consapevole, ampliando con gradualità le proprie capacità di invenzione e improvvisazione.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tabs>
                <w:tab w:val="left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2. Eseguire collettivamente e individualmente brani vocali/strumentali anche polifonici, curando l’intonazione, l’espressività e l’interpretazione.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tabs>
                <w:tab w:val="left" w:pos="1"/>
              </w:tabs>
              <w:spacing w:after="0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tabs>
                <w:tab w:val="left" w:pos="1"/>
              </w:tabs>
              <w:spacing w:after="0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Esecuzione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3. Rappresentare gli elementi basilari di eventi sonori e musicali attraverso sistemi simbolici convenzionali e non convenzionali.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4. Valutare aspetti funzionali ed estetici in brani musicali di vario genere e stile in relazione al riconoscimento di culture, di tempi e luoghi diversi.</w:t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5. Riconoscere e classificare gli elementi costitutivi basilari del linguaggio musicale all’interno di brani di vario genere e provenienza. 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6. Riconosce gli usi, le funzioni e i contesti della musica e dei suoni nella realtà multimediale (cinema, tv, computer).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37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7. Individuare ed analizzare le diverse caratteristiche di stile in brani appartenenti a generi musicali diversi.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L’apprendimento della musica consta di pratiche di conoscenze e si articola su due dimensioni:</w:t>
            </w:r>
          </w:p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produzione, mediante l’azione diretta (esplorativa, compositiva, esecutiva) con e sui materiali sonori, in particolare attraverso l’attività corale e di musica d’insieme;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fruizione consapevole, che implica la costruzione e l’elaborazione di significati personali, sociali e culturali. Il canto, la pratica degli strumenti musicali, la produzione creativa, l’ascolto, la comprensione e la riflessione critica favoriscono lo sviluppo della musicalità che è in ciascuno. In particolare, attraverso l’esperienza del far musica insieme, ognuno sperimenterà la produzione musicale anche attraverso l’improvvisazione. L’apprendimento della musica esplica specifiche funzioni formative, fra loro interdipendenti. In quanto mezzo di espressione e di comunicazione, la musica interagisce costantemente con le altre arti ed è aperta agli scambi e alle interazioni con i vari ambiti del sapere.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Gli strumenti utilizzati saranno: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uso della voce,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uso del corpo,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uso di semplici, strumenti a percussione,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utilizzo di CD e DVD musicali,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visione di filmati, musicali estrapolati da internet,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utilizzo della LIM,</w:t>
            </w:r>
          </w:p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supporti didattici come quaderni pentagrammati,</w:t>
            </w:r>
          </w:p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Arial Narrow" w:cs="Arial Narrow" w:eastAsia="Arial Narrow" w:hAnsi="Arial Narrow"/>
                <w:color w:val="00000a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uso di semplici strumenti anche a fiato come il flauto dolce,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highlight w:val="white"/>
                <w:rtl w:val="0"/>
              </w:rPr>
              <w:t xml:space="preserve">- utilizzo di ambienti predisposti e attrezzati adeguatamente come l'aula di musica.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Esecuzione di brani</w:t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Interrogazioni</w:t>
            </w:r>
          </w:p>
        </w:tc>
      </w:tr>
    </w:tbl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377.0" w:type="dxa"/>
        <w:jc w:val="left"/>
        <w:tblInd w:w="-60.0" w:type="dxa"/>
        <w:tblLayout w:type="fixed"/>
        <w:tblLook w:val="0000"/>
      </w:tblPr>
      <w:tblGrid>
        <w:gridCol w:w="3797"/>
        <w:gridCol w:w="10580"/>
        <w:tblGridChange w:id="0">
          <w:tblGrid>
            <w:gridCol w:w="3797"/>
            <w:gridCol w:w="105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  <w:rtl w:val="0"/>
              </w:rPr>
              <w:t xml:space="preserve">COMPETENZA CHIAVE EUROPEA: CONSAPEVOLEZZA ED ESPRESSIONE CULTURALE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325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ind w:left="23" w:right="-22" w:hanging="3.0000000000000004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Utilizza voce, strumenti e nuove tecnologie per produrre anche in modo creativo messaggi musicali.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Rule="auto"/>
              <w:ind w:left="23" w:right="-22" w:hanging="3.0000000000000004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Distingue e classifica gli elementi base del linguaggio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musicale anche rispetto al contesto storico e culturale.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ind w:left="23" w:hanging="3.0000000000000004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Legge, interpreta ed esprime apprezzamenti 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valutazioni su fenomeni artistici di vario genere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(musicale, visivo, letterario).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7"/>
              <w:rPr>
                <w:rFonts w:ascii="Liberation Serif" w:cs="Liberation Serif" w:eastAsia="Liberation Serif" w:hAnsi="Liberation Serif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Esprime valutazioni critiche su messaggi veicolati da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codici multimediali, artistici, audiovisivi ecc. (film,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programmi TV, pubblicità ecc.).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34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Rule="auto"/>
              <w:ind w:right="110"/>
              <w:rPr>
                <w:rFonts w:ascii="Arial Narrow" w:cs="Arial Narrow" w:eastAsia="Arial Narrow" w:hAnsi="Arial Narrow"/>
                <w:color w:val="00000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Realizzare semplici esecuzioni musicali con strumenti non convenzionali e con strumenti musicali o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esecuzioni corali a commento di eventi prodotti a scuola (feste, mostre, ricorrenze, presentazioni…).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ind w:right="110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Ascoltare brani musicali del repertorio classico e moderno, individuandone, con il supporto dell’insegnante, le caratteristiche e gli aspetti strutturali e stilistici; confrontare generi musicali diversi.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ind w:right="286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Confezionare prodotti (mostre, ricostruzioni storiche, eventi diversi) utilizzando la musica, le arti visive, i testi poetici o narrativi (ad esempio, rappresentare un periodo della storia attraverso foto e filmati, commentati dalla narrazione storica, da letture di prose o poesie significative, da musiche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pertinenti).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Rappresentare drammatizzazioni utilizzando linguaggi diversi.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10098"/>
              </w:tabs>
              <w:spacing w:after="0" w:lineRule="auto"/>
              <w:rPr>
                <w:rFonts w:ascii="Arial Narrow" w:cs="Arial Narrow" w:eastAsia="Arial Narrow" w:hAnsi="Arial Narrow"/>
                <w:color w:val="00000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Realizzare mostre e spettacoli interculturali, a partire dall’esperienza di vita nella classe e nella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scuola.</w:t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widowControl w:val="0"/>
      <w:spacing w:after="120" w:before="240" w:lin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e" w:default="1">
    <w:name w:val="Normal"/>
    <w:qFormat w:val="1"/>
    <w:rsid w:val="005542A8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 w:val="1"/>
    <w:rsid w:val="00CF0552"/>
    <w:pPr>
      <w:keepNext w:val="1"/>
      <w:widowControl w:val="0"/>
      <w:spacing w:after="120" w:before="240" w:line="240" w:lineRule="auto"/>
    </w:pPr>
    <w:rPr>
      <w:rFonts w:ascii="Liberation Sans" w:cs="FreeSans" w:eastAsia="Droid Sans Fallback" w:hAnsi="Liberation Sans"/>
      <w:sz w:val="28"/>
      <w:szCs w:val="28"/>
      <w:lang w:bidi="hi-IN" w:eastAsia="zh-CN"/>
    </w:rPr>
  </w:style>
  <w:style w:type="paragraph" w:styleId="NormaleWeb">
    <w:name w:val="Normal (Web)"/>
    <w:basedOn w:val="Normale"/>
    <w:uiPriority w:val="99"/>
    <w:unhideWhenUsed w:val="1"/>
    <w:rsid w:val="005542A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tandard" w:customStyle="1">
    <w:name w:val="Standard"/>
    <w:rsid w:val="005542A8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user" w:customStyle="1">
    <w:name w:val="Standard (user) (user)"/>
    <w:rsid w:val="005542A8"/>
    <w:pPr>
      <w:suppressAutoHyphens w:val="1"/>
      <w:autoSpaceDN w:val="0"/>
      <w:textAlignment w:val="baseline"/>
    </w:pPr>
    <w:rPr>
      <w:rFonts w:cs="Tahoma" w:eastAsia="SimSun, 宋体"/>
      <w:kern w:val="3"/>
      <w:lang w:eastAsia="zh-CN"/>
    </w:rPr>
  </w:style>
  <w:style w:type="paragraph" w:styleId="TableParagraph" w:customStyle="1">
    <w:name w:val="Table Paragraph"/>
    <w:basedOn w:val="Normale"/>
    <w:uiPriority w:val="1"/>
    <w:qFormat w:val="1"/>
    <w:rsid w:val="005542A8"/>
    <w:pPr>
      <w:widowControl w:val="0"/>
      <w:autoSpaceDN w:val="0"/>
      <w:spacing w:after="0" w:line="240" w:lineRule="auto"/>
    </w:pPr>
    <w:rPr>
      <w:rFonts w:cs="Times New Roman"/>
      <w:lang w:val="en-US"/>
    </w:rPr>
  </w:style>
  <w:style w:type="paragraph" w:styleId="Paragrafoelenco">
    <w:name w:val="List Paragraph"/>
    <w:basedOn w:val="Normale"/>
    <w:rsid w:val="005542A8"/>
    <w:pPr>
      <w:widowControl w:val="0"/>
      <w:autoSpaceDN w:val="0"/>
      <w:spacing w:after="0" w:line="240" w:lineRule="auto"/>
    </w:pPr>
    <w:rPr>
      <w:rFonts w:cs="Times New Roman"/>
      <w:lang w:val="en-US"/>
    </w:rPr>
  </w:style>
  <w:style w:type="paragraph" w:styleId="TableContents" w:customStyle="1">
    <w:name w:val="Table Contents"/>
    <w:basedOn w:val="Normale"/>
    <w:rsid w:val="005542A8"/>
    <w:pPr>
      <w:widowControl w:val="0"/>
      <w:suppressLineNumbers w:val="1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Elenco">
    <w:name w:val="List"/>
    <w:basedOn w:val="Normale"/>
    <w:rsid w:val="00D4303D"/>
    <w:pPr>
      <w:widowControl w:val="0"/>
      <w:spacing w:after="140" w:line="288" w:lineRule="auto"/>
    </w:pPr>
    <w:rPr>
      <w:rFonts w:ascii="Liberation Serif" w:cs="FreeSans" w:eastAsia="Droid Sans Fallback" w:hAnsi="Liberation Serif"/>
      <w:sz w:val="24"/>
      <w:szCs w:val="24"/>
      <w:lang w:bidi="hi-IN" w:eastAsia="zh-CN"/>
    </w:rPr>
  </w:style>
  <w:style w:type="character" w:styleId="TitoloCarattere" w:customStyle="1">
    <w:name w:val="Titolo Carattere"/>
    <w:basedOn w:val="Carpredefinitoparagrafo"/>
    <w:link w:val="Titolo"/>
    <w:rsid w:val="00CF0552"/>
    <w:rPr>
      <w:rFonts w:ascii="Liberation Sans" w:cs="FreeSans" w:eastAsia="Droid Sans Fallback" w:hAnsi="Liberation Sans"/>
      <w:sz w:val="28"/>
      <w:szCs w:val="28"/>
      <w:lang w:bidi="hi-IN" w:eastAsia="zh-CN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.0" w:type="dxa"/>
        <w:right w:w="1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.0" w:type="dxa"/>
        <w:right w:w="1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.0" w:type="dxa"/>
        <w:right w:w="1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HY+vdvfrnmSTI4gMxAhNmldoDw==">AMUW2mXMoTuXd/NuemHTMHXzaFAjNkcilkbrUMXjkv8JQdQxsz8HiNg+e4HWw0XRmtX1oUbDUKUsG7t+5od4N17+zjYZJFV/Y50e5hy/hv3xnEuuTWEsnGA=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2021-12-07T10:22:00Z</dcterms:created>
  <dc:creator>Laura Catania</dc:creator>
</cp:coreProperties>
</file>